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0D730" w14:textId="77777777" w:rsidR="00765032" w:rsidRDefault="00321160" w:rsidP="00D763A1">
      <w:pPr>
        <w:ind w:left="0" w:firstLine="0"/>
        <w:jc w:val="center"/>
      </w:pPr>
      <w:r>
        <w:t>IF</w:t>
      </w:r>
      <w:r w:rsidR="00677691">
        <w:t xml:space="preserve"> Practice Questions</w:t>
      </w:r>
    </w:p>
    <w:p w14:paraId="1E6C3C62" w14:textId="77777777" w:rsidR="00612A4E" w:rsidRDefault="00612A4E" w:rsidP="00D763A1">
      <w:pPr>
        <w:ind w:left="0" w:firstLine="0"/>
        <w:jc w:val="center"/>
      </w:pPr>
      <w:r>
        <w:t>Spring 2017</w:t>
      </w:r>
    </w:p>
    <w:p w14:paraId="39553D77" w14:textId="77777777" w:rsidR="00677691" w:rsidRDefault="00677691" w:rsidP="00677691">
      <w:pPr>
        <w:ind w:left="0" w:firstLine="0"/>
      </w:pPr>
    </w:p>
    <w:p w14:paraId="1623CB1C" w14:textId="77777777" w:rsidR="00677691" w:rsidRDefault="00677691" w:rsidP="00677691">
      <w:pPr>
        <w:ind w:left="0" w:firstLine="0"/>
      </w:pPr>
    </w:p>
    <w:p w14:paraId="7633B295" w14:textId="77777777" w:rsidR="00677691" w:rsidRPr="00677691" w:rsidRDefault="00677691" w:rsidP="00677691">
      <w:pPr>
        <w:pStyle w:val="ListParagraph"/>
        <w:numPr>
          <w:ilvl w:val="0"/>
          <w:numId w:val="2"/>
        </w:numPr>
        <w:spacing w:after="200" w:line="276" w:lineRule="auto"/>
      </w:pPr>
      <w:r w:rsidRPr="00677691">
        <w:t xml:space="preserve"> </w:t>
      </w:r>
      <w:proofErr w:type="spellStart"/>
      <w:r w:rsidRPr="00677691">
        <w:t>JrHeadcon</w:t>
      </w:r>
      <w:proofErr w:type="spellEnd"/>
      <w:r w:rsidRPr="00677691">
        <w:t xml:space="preserve"> is hydro-construction firm with a gover</w:t>
      </w:r>
      <w:bookmarkStart w:id="0" w:name="_GoBack"/>
      <w:bookmarkEnd w:id="0"/>
      <w:r w:rsidRPr="00677691">
        <w:t xml:space="preserve">nment contract to install salt water purification plants in a number of Chile’s northern coastal desert settlements The work is to be completed in one year at which time the final payment of 25B( billion) Chilean Pesos (CLPs) will be wired to </w:t>
      </w:r>
      <w:proofErr w:type="spellStart"/>
      <w:r w:rsidRPr="00677691">
        <w:t>JrHeadcon’s</w:t>
      </w:r>
      <w:proofErr w:type="spellEnd"/>
      <w:r w:rsidRPr="00677691">
        <w:t xml:space="preserve"> NY bank.  At the current spot exchange rate of .002USDs per </w:t>
      </w:r>
      <w:r w:rsidR="005C5293">
        <w:t>CLP</w:t>
      </w:r>
      <w:r w:rsidRPr="00677691">
        <w:t xml:space="preserve">, the contract payment would be worth 50M USDs.  </w:t>
      </w:r>
      <w:r w:rsidR="005C5293">
        <w:t>T</w:t>
      </w:r>
      <w:r w:rsidRPr="00677691">
        <w:t xml:space="preserve">he chief financial officer (CFO) of </w:t>
      </w:r>
      <w:proofErr w:type="spellStart"/>
      <w:r w:rsidRPr="00677691">
        <w:t>JrHeadcon</w:t>
      </w:r>
      <w:proofErr w:type="spellEnd"/>
      <w:r w:rsidRPr="00677691">
        <w:t xml:space="preserve"> calls you, his NY banker</w:t>
      </w:r>
      <w:r w:rsidR="005C5293">
        <w:t>,</w:t>
      </w:r>
      <w:r w:rsidRPr="00677691">
        <w:t xml:space="preserve"> and requests a one-year forward exchange rate quote from the bank to sell the CLPs.  </w:t>
      </w:r>
    </w:p>
    <w:p w14:paraId="3856EDEC" w14:textId="77777777" w:rsidR="00677691" w:rsidRPr="00677691" w:rsidRDefault="00677691" w:rsidP="00677691">
      <w:pPr>
        <w:spacing w:after="200" w:line="276" w:lineRule="auto"/>
        <w:ind w:left="0" w:firstLine="0"/>
      </w:pPr>
      <w:r w:rsidRPr="00677691">
        <w:t>Before calling the CFO back</w:t>
      </w:r>
      <w:r w:rsidR="005C5293">
        <w:t>,</w:t>
      </w:r>
      <w:r w:rsidRPr="00677691">
        <w:t xml:space="preserve"> you look up the current interbank lending/borrowing rates for CLPs and USDs. The current one-year interbank interest rates are </w:t>
      </w:r>
      <w:proofErr w:type="spellStart"/>
      <w:proofErr w:type="gramStart"/>
      <w:r w:rsidRPr="00677691">
        <w:t>i</w:t>
      </w:r>
      <w:proofErr w:type="spellEnd"/>
      <w:r w:rsidRPr="00677691">
        <w:t>(</w:t>
      </w:r>
      <w:proofErr w:type="gramEnd"/>
      <w:r w:rsidRPr="00677691">
        <w:t xml:space="preserve">CLP) = 6% and </w:t>
      </w:r>
      <w:proofErr w:type="spellStart"/>
      <w:r w:rsidRPr="00677691">
        <w:t>i</w:t>
      </w:r>
      <w:proofErr w:type="spellEnd"/>
      <w:r w:rsidRPr="00677691">
        <w:t xml:space="preserve">(USD) = 2%.  </w:t>
      </w:r>
    </w:p>
    <w:p w14:paraId="79F250DF" w14:textId="77777777" w:rsidR="00677691" w:rsidRPr="00677691" w:rsidRDefault="00677691" w:rsidP="00677691">
      <w:pPr>
        <w:pStyle w:val="ListParagraph"/>
        <w:numPr>
          <w:ilvl w:val="0"/>
          <w:numId w:val="1"/>
        </w:numPr>
        <w:spacing w:after="200" w:line="276" w:lineRule="auto"/>
        <w:rPr>
          <w:b/>
        </w:rPr>
      </w:pPr>
      <w:r w:rsidRPr="00677691">
        <w:rPr>
          <w:u w:val="single"/>
        </w:rPr>
        <w:t>Design a set of lending/borrowing positions</w:t>
      </w:r>
      <w:r w:rsidRPr="00677691">
        <w:t xml:space="preserve"> in the interbank money market that will generate a risk-free one-year-ahead forward rate quote </w:t>
      </w:r>
      <w:r w:rsidRPr="00677691">
        <w:rPr>
          <w:i/>
        </w:rPr>
        <w:t>stated in terms of USDs per CLP</w:t>
      </w:r>
      <w:r w:rsidRPr="00677691">
        <w:t xml:space="preserve">.  Explain why this is a risk-free quote. </w:t>
      </w:r>
    </w:p>
    <w:p w14:paraId="6015688E" w14:textId="77777777" w:rsidR="00677691" w:rsidRDefault="00677691" w:rsidP="00677691">
      <w:pPr>
        <w:numPr>
          <w:ilvl w:val="0"/>
          <w:numId w:val="1"/>
        </w:numPr>
        <w:spacing w:after="200" w:line="276" w:lineRule="auto"/>
        <w:contextualSpacing/>
      </w:pPr>
      <w:r>
        <w:t>H</w:t>
      </w:r>
      <w:r w:rsidRPr="00677691">
        <w:t>ow much will the USD value of the 25B CLP one</w:t>
      </w:r>
      <w:r>
        <w:t>-</w:t>
      </w:r>
      <w:r w:rsidRPr="00677691">
        <w:t>year</w:t>
      </w:r>
      <w:r>
        <w:t>-</w:t>
      </w:r>
      <w:r w:rsidRPr="00677691">
        <w:t xml:space="preserve">ahead contract payment be if </w:t>
      </w:r>
      <w:proofErr w:type="spellStart"/>
      <w:r w:rsidRPr="00677691">
        <w:t>JrHeadcon</w:t>
      </w:r>
      <w:proofErr w:type="spellEnd"/>
      <w:r w:rsidRPr="00677691">
        <w:t xml:space="preserve"> accepts the offered forward rate from your bank?</w:t>
      </w:r>
    </w:p>
    <w:p w14:paraId="3058FF01" w14:textId="77777777" w:rsidR="00677691" w:rsidRPr="00677691" w:rsidRDefault="00677691" w:rsidP="00677691">
      <w:pPr>
        <w:spacing w:after="200" w:line="276" w:lineRule="auto"/>
        <w:ind w:left="720" w:firstLine="0"/>
        <w:contextualSpacing/>
      </w:pPr>
      <w:r>
        <w:t>Hint: See the money market hedge setup in Note Set 7.</w:t>
      </w:r>
    </w:p>
    <w:p w14:paraId="613BA706" w14:textId="77777777" w:rsidR="00677691" w:rsidRDefault="00677691" w:rsidP="00677691">
      <w:pPr>
        <w:spacing w:after="200" w:line="276" w:lineRule="auto"/>
        <w:ind w:left="0" w:firstLine="0"/>
      </w:pPr>
    </w:p>
    <w:p w14:paraId="48836CF7" w14:textId="77777777" w:rsidR="00677691" w:rsidRPr="00677691" w:rsidRDefault="00677691" w:rsidP="00677691">
      <w:pPr>
        <w:ind w:left="0" w:firstLine="0"/>
        <w:rPr>
          <w:rFonts w:eastAsia="Times New Roman" w:cs="Times New Roman"/>
          <w:szCs w:val="24"/>
        </w:rPr>
      </w:pPr>
      <w:r>
        <w:rPr>
          <w:rFonts w:eastAsia="Times New Roman" w:cs="Times New Roman"/>
          <w:szCs w:val="24"/>
        </w:rPr>
        <w:t>2</w:t>
      </w:r>
      <w:r w:rsidRPr="00677691">
        <w:rPr>
          <w:rFonts w:eastAsia="Times New Roman" w:cs="Times New Roman"/>
          <w:szCs w:val="24"/>
        </w:rPr>
        <w:t xml:space="preserve">.  You work for a bond trader who is thinking of taking </w:t>
      </w:r>
      <w:r w:rsidRPr="00677691">
        <w:rPr>
          <w:rFonts w:eastAsia="Times New Roman" w:cs="Times New Roman"/>
          <w:i/>
          <w:szCs w:val="24"/>
        </w:rPr>
        <w:t>uncovered</w:t>
      </w:r>
      <w:r w:rsidRPr="00677691">
        <w:rPr>
          <w:rFonts w:eastAsia="Times New Roman" w:cs="Times New Roman"/>
          <w:szCs w:val="24"/>
        </w:rPr>
        <w:t xml:space="preserve"> positions in foreign bonds to boost his investment returns. </w:t>
      </w:r>
      <w:r>
        <w:rPr>
          <w:rFonts w:eastAsia="Times New Roman" w:cs="Times New Roman"/>
          <w:szCs w:val="24"/>
        </w:rPr>
        <w:t xml:space="preserve"> He has never invested in foreign bonds before but</w:t>
      </w:r>
      <w:r w:rsidRPr="00677691">
        <w:rPr>
          <w:rFonts w:eastAsia="Times New Roman" w:cs="Times New Roman"/>
          <w:szCs w:val="24"/>
        </w:rPr>
        <w:t xml:space="preserve"> is about to buy 100M Lower </w:t>
      </w:r>
      <w:proofErr w:type="spellStart"/>
      <w:r w:rsidRPr="00677691">
        <w:rPr>
          <w:rFonts w:eastAsia="Times New Roman" w:cs="Times New Roman"/>
          <w:szCs w:val="24"/>
        </w:rPr>
        <w:t>Slobovian</w:t>
      </w:r>
      <w:proofErr w:type="spellEnd"/>
      <w:r w:rsidRPr="00677691">
        <w:rPr>
          <w:rFonts w:eastAsia="Times New Roman" w:cs="Times New Roman"/>
          <w:szCs w:val="24"/>
        </w:rPr>
        <w:t xml:space="preserve"> dollars</w:t>
      </w:r>
      <w:r w:rsidR="008D16C4">
        <w:rPr>
          <w:rFonts w:eastAsia="Times New Roman" w:cs="Times New Roman"/>
          <w:szCs w:val="24"/>
        </w:rPr>
        <w:t>’</w:t>
      </w:r>
      <w:r w:rsidRPr="00677691">
        <w:rPr>
          <w:rFonts w:eastAsia="Times New Roman" w:cs="Times New Roman"/>
          <w:szCs w:val="24"/>
        </w:rPr>
        <w:t xml:space="preserve"> (</w:t>
      </w:r>
      <w:r w:rsidR="008D16C4">
        <w:rPr>
          <w:rFonts w:eastAsia="Times New Roman" w:cs="Times New Roman"/>
          <w:szCs w:val="24"/>
        </w:rPr>
        <w:t xml:space="preserve">the </w:t>
      </w:r>
      <w:r w:rsidRPr="00677691">
        <w:rPr>
          <w:rFonts w:eastAsia="Times New Roman" w:cs="Times New Roman"/>
          <w:szCs w:val="24"/>
        </w:rPr>
        <w:t xml:space="preserve">acronym is LSD) worth of one-year-maturity Lower </w:t>
      </w:r>
      <w:proofErr w:type="spellStart"/>
      <w:r w:rsidRPr="00677691">
        <w:rPr>
          <w:rFonts w:eastAsia="Times New Roman" w:cs="Times New Roman"/>
          <w:szCs w:val="24"/>
        </w:rPr>
        <w:t>Slobovian</w:t>
      </w:r>
      <w:proofErr w:type="spellEnd"/>
      <w:r w:rsidRPr="00677691">
        <w:rPr>
          <w:rFonts w:eastAsia="Times New Roman" w:cs="Times New Roman"/>
          <w:szCs w:val="24"/>
        </w:rPr>
        <w:t xml:space="preserve"> treasury b</w:t>
      </w:r>
      <w:r>
        <w:rPr>
          <w:rFonts w:eastAsia="Times New Roman" w:cs="Times New Roman"/>
          <w:szCs w:val="24"/>
        </w:rPr>
        <w:t>ills</w:t>
      </w:r>
      <w:r w:rsidRPr="00677691">
        <w:rPr>
          <w:rFonts w:eastAsia="Times New Roman" w:cs="Times New Roman"/>
          <w:szCs w:val="24"/>
        </w:rPr>
        <w:t xml:space="preserve">. </w:t>
      </w:r>
    </w:p>
    <w:p w14:paraId="74F82D1F" w14:textId="77777777" w:rsidR="00677691" w:rsidRPr="00677691" w:rsidRDefault="00677691" w:rsidP="00677691">
      <w:pPr>
        <w:ind w:left="0" w:firstLine="0"/>
        <w:rPr>
          <w:rFonts w:eastAsia="Times New Roman" w:cs="Times New Roman"/>
          <w:szCs w:val="24"/>
        </w:rPr>
      </w:pPr>
      <w:r w:rsidRPr="00677691">
        <w:rPr>
          <w:rFonts w:eastAsia="Times New Roman" w:cs="Times New Roman"/>
          <w:szCs w:val="24"/>
        </w:rPr>
        <w:t xml:space="preserve">Lower </w:t>
      </w:r>
      <w:proofErr w:type="spellStart"/>
      <w:r w:rsidRPr="00677691">
        <w:rPr>
          <w:rFonts w:eastAsia="Times New Roman" w:cs="Times New Roman"/>
          <w:szCs w:val="24"/>
        </w:rPr>
        <w:t>Slobovia</w:t>
      </w:r>
      <w:proofErr w:type="spellEnd"/>
      <w:r>
        <w:rPr>
          <w:rFonts w:eastAsia="Times New Roman" w:cs="Times New Roman"/>
          <w:szCs w:val="24"/>
        </w:rPr>
        <w:t xml:space="preserve"> has for years been on a </w:t>
      </w:r>
      <w:r w:rsidR="00CA2039">
        <w:rPr>
          <w:rFonts w:eastAsia="Times New Roman" w:cs="Times New Roman"/>
          <w:szCs w:val="24"/>
        </w:rPr>
        <w:t xml:space="preserve">fixed exchange rate relative to the USD </w:t>
      </w:r>
      <w:r w:rsidRPr="00677691">
        <w:rPr>
          <w:rFonts w:eastAsia="Times New Roman" w:cs="Times New Roman"/>
          <w:szCs w:val="24"/>
        </w:rPr>
        <w:t xml:space="preserve">at par (that is, one LSD for one USD.)  </w:t>
      </w:r>
    </w:p>
    <w:p w14:paraId="6FE805F4" w14:textId="77777777" w:rsidR="00677691" w:rsidRPr="00677691" w:rsidRDefault="00677691" w:rsidP="00677691">
      <w:pPr>
        <w:ind w:left="0" w:firstLine="0"/>
        <w:rPr>
          <w:rFonts w:eastAsia="Times New Roman" w:cs="Times New Roman"/>
          <w:szCs w:val="24"/>
        </w:rPr>
      </w:pPr>
      <w:r w:rsidRPr="00677691">
        <w:rPr>
          <w:rFonts w:eastAsia="Times New Roman" w:cs="Times New Roman"/>
          <w:szCs w:val="24"/>
        </w:rPr>
        <w:t xml:space="preserve">Your boss wants to buy the Lower </w:t>
      </w:r>
      <w:proofErr w:type="spellStart"/>
      <w:r w:rsidRPr="00677691">
        <w:rPr>
          <w:rFonts w:eastAsia="Times New Roman" w:cs="Times New Roman"/>
          <w:szCs w:val="24"/>
        </w:rPr>
        <w:t>Slobovian</w:t>
      </w:r>
      <w:proofErr w:type="spellEnd"/>
      <w:r w:rsidRPr="00677691">
        <w:rPr>
          <w:rFonts w:eastAsia="Times New Roman" w:cs="Times New Roman"/>
          <w:szCs w:val="24"/>
        </w:rPr>
        <w:t xml:space="preserve"> treasury </w:t>
      </w:r>
      <w:r>
        <w:rPr>
          <w:rFonts w:eastAsia="Times New Roman" w:cs="Times New Roman"/>
          <w:szCs w:val="24"/>
        </w:rPr>
        <w:t xml:space="preserve">bills </w:t>
      </w:r>
      <w:r w:rsidRPr="00677691">
        <w:rPr>
          <w:rFonts w:eastAsia="Times New Roman" w:cs="Times New Roman"/>
          <w:szCs w:val="24"/>
        </w:rPr>
        <w:t xml:space="preserve">because they pay 10% in LSDs while </w:t>
      </w:r>
      <w:r>
        <w:rPr>
          <w:rFonts w:eastAsia="Times New Roman" w:cs="Times New Roman"/>
          <w:szCs w:val="24"/>
        </w:rPr>
        <w:t xml:space="preserve">one-year </w:t>
      </w:r>
      <w:r w:rsidRPr="00677691">
        <w:rPr>
          <w:rFonts w:eastAsia="Times New Roman" w:cs="Times New Roman"/>
          <w:szCs w:val="24"/>
        </w:rPr>
        <w:t xml:space="preserve">US Treasuries pay only 2% in USDs.   “It’s a risk-free 8% spread!  The </w:t>
      </w:r>
      <w:r w:rsidR="005C5293">
        <w:rPr>
          <w:rFonts w:eastAsia="Times New Roman" w:cs="Times New Roman"/>
          <w:szCs w:val="24"/>
        </w:rPr>
        <w:t xml:space="preserve">fixed exchange rate policy of the Lower </w:t>
      </w:r>
      <w:proofErr w:type="spellStart"/>
      <w:r w:rsidR="005C5293">
        <w:rPr>
          <w:rFonts w:eastAsia="Times New Roman" w:cs="Times New Roman"/>
          <w:szCs w:val="24"/>
        </w:rPr>
        <w:t>Slobovian</w:t>
      </w:r>
      <w:proofErr w:type="spellEnd"/>
      <w:r w:rsidR="005C5293">
        <w:rPr>
          <w:rFonts w:eastAsia="Times New Roman" w:cs="Times New Roman"/>
          <w:szCs w:val="24"/>
        </w:rPr>
        <w:t xml:space="preserve"> government</w:t>
      </w:r>
      <w:r w:rsidR="008D16C4">
        <w:rPr>
          <w:rFonts w:eastAsia="Times New Roman" w:cs="Times New Roman"/>
          <w:szCs w:val="24"/>
        </w:rPr>
        <w:t xml:space="preserve"> </w:t>
      </w:r>
      <w:r w:rsidRPr="00677691">
        <w:rPr>
          <w:rFonts w:eastAsia="Times New Roman" w:cs="Times New Roman"/>
          <w:szCs w:val="24"/>
        </w:rPr>
        <w:t>guarantees our profit by keep</w:t>
      </w:r>
      <w:r w:rsidR="008D16C4">
        <w:rPr>
          <w:rFonts w:eastAsia="Times New Roman" w:cs="Times New Roman"/>
          <w:szCs w:val="24"/>
        </w:rPr>
        <w:t>ing</w:t>
      </w:r>
      <w:r w:rsidRPr="00677691">
        <w:rPr>
          <w:rFonts w:eastAsia="Times New Roman" w:cs="Times New Roman"/>
          <w:szCs w:val="24"/>
        </w:rPr>
        <w:t xml:space="preserve"> the</w:t>
      </w:r>
      <w:r w:rsidR="008D16C4">
        <w:rPr>
          <w:rFonts w:eastAsia="Times New Roman" w:cs="Times New Roman"/>
          <w:szCs w:val="24"/>
        </w:rPr>
        <w:t xml:space="preserve"> LSD-USD</w:t>
      </w:r>
      <w:r w:rsidRPr="00677691">
        <w:rPr>
          <w:rFonts w:eastAsia="Times New Roman" w:cs="Times New Roman"/>
          <w:szCs w:val="24"/>
        </w:rPr>
        <w:t xml:space="preserve"> exchange rate fixed at par!” your boss exclaims, </w:t>
      </w:r>
      <w:r w:rsidR="00930641">
        <w:rPr>
          <w:rFonts w:eastAsia="Times New Roman" w:cs="Times New Roman"/>
          <w:szCs w:val="24"/>
        </w:rPr>
        <w:t>actually</w:t>
      </w:r>
      <w:r w:rsidRPr="00677691">
        <w:rPr>
          <w:rFonts w:eastAsia="Times New Roman" w:cs="Times New Roman"/>
          <w:szCs w:val="24"/>
        </w:rPr>
        <w:t xml:space="preserve"> drooling at the prospect of an easy</w:t>
      </w:r>
      <w:r w:rsidR="005C5293">
        <w:rPr>
          <w:rFonts w:eastAsia="Times New Roman" w:cs="Times New Roman"/>
          <w:szCs w:val="24"/>
        </w:rPr>
        <w:t>,</w:t>
      </w:r>
      <w:r w:rsidRPr="00677691">
        <w:rPr>
          <w:rFonts w:eastAsia="Times New Roman" w:cs="Times New Roman"/>
          <w:szCs w:val="24"/>
        </w:rPr>
        <w:t xml:space="preserve"> risk-free profit. </w:t>
      </w:r>
    </w:p>
    <w:p w14:paraId="3339600C" w14:textId="77777777" w:rsidR="00677691" w:rsidRPr="00677691" w:rsidRDefault="00677691" w:rsidP="00677691">
      <w:pPr>
        <w:ind w:left="0" w:firstLine="0"/>
        <w:rPr>
          <w:rFonts w:eastAsia="Times New Roman" w:cs="Times New Roman"/>
          <w:szCs w:val="24"/>
        </w:rPr>
      </w:pPr>
    </w:p>
    <w:p w14:paraId="3B267052" w14:textId="77777777" w:rsidR="00677691" w:rsidRPr="00677691" w:rsidRDefault="00677691" w:rsidP="00677691">
      <w:pPr>
        <w:ind w:left="0" w:firstLine="0"/>
        <w:rPr>
          <w:rFonts w:eastAsia="Times New Roman" w:cs="Times New Roman"/>
          <w:szCs w:val="24"/>
        </w:rPr>
      </w:pPr>
      <w:r w:rsidRPr="00677691">
        <w:rPr>
          <w:rFonts w:eastAsia="Times New Roman" w:cs="Times New Roman"/>
          <w:szCs w:val="24"/>
        </w:rPr>
        <w:t>Afterwards, back in your off</w:t>
      </w:r>
      <w:r w:rsidR="005C5293">
        <w:rPr>
          <w:rFonts w:eastAsia="Times New Roman" w:cs="Times New Roman"/>
          <w:szCs w:val="24"/>
        </w:rPr>
        <w:t xml:space="preserve">ice, </w:t>
      </w:r>
      <w:r w:rsidRPr="00677691">
        <w:rPr>
          <w:rFonts w:eastAsia="Times New Roman" w:cs="Times New Roman"/>
          <w:szCs w:val="24"/>
        </w:rPr>
        <w:t>second thoughts about this deal start to arise as you remember some important lessons from your International Finance class that directly apply here.</w:t>
      </w:r>
      <w:r w:rsidR="005C5293">
        <w:rPr>
          <w:rFonts w:eastAsia="Times New Roman" w:cs="Times New Roman"/>
          <w:szCs w:val="24"/>
        </w:rPr>
        <w:t xml:space="preserve">  Critique your </w:t>
      </w:r>
      <w:proofErr w:type="gramStart"/>
      <w:r w:rsidR="005C5293">
        <w:rPr>
          <w:rFonts w:eastAsia="Times New Roman" w:cs="Times New Roman"/>
          <w:szCs w:val="24"/>
        </w:rPr>
        <w:t>bosses</w:t>
      </w:r>
      <w:proofErr w:type="gramEnd"/>
      <w:r w:rsidR="005C5293">
        <w:rPr>
          <w:rFonts w:eastAsia="Times New Roman" w:cs="Times New Roman"/>
          <w:szCs w:val="24"/>
        </w:rPr>
        <w:t xml:space="preserve"> belief that he will make an easy profit from the LSD bonds.</w:t>
      </w:r>
    </w:p>
    <w:p w14:paraId="4CAFC9F6" w14:textId="77777777" w:rsidR="00677691" w:rsidRDefault="00677691" w:rsidP="00677691">
      <w:pPr>
        <w:ind w:left="0" w:firstLine="0"/>
        <w:rPr>
          <w:rFonts w:eastAsia="Times New Roman" w:cs="Times New Roman"/>
          <w:szCs w:val="24"/>
        </w:rPr>
      </w:pPr>
    </w:p>
    <w:p w14:paraId="0EE3C9D9" w14:textId="77777777" w:rsidR="00677691" w:rsidRPr="00677691" w:rsidRDefault="00677691" w:rsidP="00677691">
      <w:pPr>
        <w:ind w:left="0" w:firstLine="0"/>
        <w:rPr>
          <w:rFonts w:eastAsia="Times New Roman" w:cs="Times New Roman"/>
          <w:szCs w:val="24"/>
        </w:rPr>
      </w:pPr>
      <w:r>
        <w:rPr>
          <w:rFonts w:eastAsia="Times New Roman" w:cs="Times New Roman"/>
          <w:szCs w:val="24"/>
        </w:rPr>
        <w:t xml:space="preserve">Hint: </w:t>
      </w:r>
      <w:r w:rsidRPr="00677691">
        <w:rPr>
          <w:rFonts w:eastAsia="Times New Roman" w:cs="Times New Roman"/>
          <w:szCs w:val="24"/>
        </w:rPr>
        <w:t xml:space="preserve">Use the Augmented International Fisher Equation </w:t>
      </w:r>
      <w:r w:rsidR="00D763A1">
        <w:rPr>
          <w:rFonts w:eastAsia="Times New Roman" w:cs="Times New Roman"/>
          <w:szCs w:val="24"/>
        </w:rPr>
        <w:t xml:space="preserve">in Note Set 7 </w:t>
      </w:r>
      <w:r w:rsidRPr="00677691">
        <w:rPr>
          <w:rFonts w:eastAsia="Times New Roman" w:cs="Times New Roman"/>
          <w:szCs w:val="24"/>
        </w:rPr>
        <w:t xml:space="preserve">to decompose what factors </w:t>
      </w:r>
      <w:r>
        <w:rPr>
          <w:rFonts w:eastAsia="Times New Roman" w:cs="Times New Roman"/>
          <w:szCs w:val="24"/>
        </w:rPr>
        <w:t>(</w:t>
      </w:r>
      <w:r w:rsidRPr="00677691">
        <w:rPr>
          <w:rFonts w:eastAsia="Times New Roman" w:cs="Times New Roman"/>
          <w:szCs w:val="24"/>
        </w:rPr>
        <w:t>and risks</w:t>
      </w:r>
      <w:r>
        <w:rPr>
          <w:rFonts w:eastAsia="Times New Roman" w:cs="Times New Roman"/>
          <w:szCs w:val="24"/>
        </w:rPr>
        <w:t>)</w:t>
      </w:r>
      <w:r w:rsidRPr="00677691">
        <w:rPr>
          <w:rFonts w:eastAsia="Times New Roman" w:cs="Times New Roman"/>
          <w:szCs w:val="24"/>
        </w:rPr>
        <w:t xml:space="preserve"> you (and he) should consider before undertaking this bond purchase. </w:t>
      </w:r>
    </w:p>
    <w:p w14:paraId="53C33763" w14:textId="77777777" w:rsidR="00D763A1" w:rsidRDefault="00D763A1" w:rsidP="000653BB">
      <w:pPr>
        <w:ind w:left="0" w:firstLine="0"/>
        <w:rPr>
          <w:rFonts w:eastAsia="Times New Roman" w:cs="Times New Roman"/>
          <w:szCs w:val="24"/>
        </w:rPr>
      </w:pPr>
    </w:p>
    <w:p w14:paraId="0330BB98" w14:textId="77777777" w:rsidR="00D763A1" w:rsidRDefault="00D763A1" w:rsidP="00D763A1">
      <w:pPr>
        <w:spacing w:after="200" w:line="276" w:lineRule="auto"/>
        <w:ind w:left="0" w:firstLine="0"/>
        <w:contextualSpacing/>
      </w:pPr>
    </w:p>
    <w:p w14:paraId="7F995589" w14:textId="77777777" w:rsidR="000653BB" w:rsidRDefault="00450D2A" w:rsidP="00D763A1">
      <w:pPr>
        <w:spacing w:after="200" w:line="276" w:lineRule="auto"/>
        <w:ind w:left="0" w:firstLine="0"/>
        <w:contextualSpacing/>
      </w:pPr>
      <w:r>
        <w:lastRenderedPageBreak/>
        <w:t>3</w:t>
      </w:r>
      <w:r w:rsidR="000653BB">
        <w:t>. Explain what the Carry Trade is and how Carry Traders expect to make money.</w:t>
      </w:r>
    </w:p>
    <w:p w14:paraId="38736621" w14:textId="77777777" w:rsidR="00D763A1" w:rsidRDefault="00871135" w:rsidP="00D763A1">
      <w:pPr>
        <w:spacing w:after="200" w:line="276" w:lineRule="auto"/>
        <w:ind w:left="0" w:firstLine="0"/>
        <w:contextualSpacing/>
      </w:pPr>
      <w:r>
        <w:t xml:space="preserve">Use the UIP equation in log approximation form to explain.  Hint: </w:t>
      </w:r>
      <w:r w:rsidR="00D763A1">
        <w:t>See discussion in Note Set 6</w:t>
      </w:r>
      <w:r w:rsidR="008D16C4">
        <w:t>.</w:t>
      </w:r>
    </w:p>
    <w:p w14:paraId="3E21C60C" w14:textId="77777777" w:rsidR="00D763A1" w:rsidRDefault="00D763A1" w:rsidP="000653BB">
      <w:pPr>
        <w:spacing w:after="200" w:line="276" w:lineRule="auto"/>
        <w:ind w:left="0" w:firstLine="0"/>
        <w:contextualSpacing/>
      </w:pPr>
    </w:p>
    <w:p w14:paraId="30B78DD5" w14:textId="77777777" w:rsidR="000653BB" w:rsidRDefault="00450D2A" w:rsidP="000653BB">
      <w:pPr>
        <w:spacing w:after="200" w:line="276" w:lineRule="auto"/>
        <w:ind w:left="0" w:firstLine="0"/>
        <w:contextualSpacing/>
      </w:pPr>
      <w:r>
        <w:t>4</w:t>
      </w:r>
      <w:r w:rsidR="000653BB">
        <w:t>.</w:t>
      </w:r>
      <w:r w:rsidR="00CA2039">
        <w:t xml:space="preserve"> </w:t>
      </w:r>
      <w:r w:rsidR="000653BB">
        <w:t>When are Expected Relative PPP and UIP the same?</w:t>
      </w:r>
    </w:p>
    <w:p w14:paraId="0CC8E532" w14:textId="77777777" w:rsidR="000653BB" w:rsidRDefault="000653BB" w:rsidP="000653BB">
      <w:pPr>
        <w:spacing w:after="200" w:line="276" w:lineRule="auto"/>
        <w:ind w:left="0" w:firstLine="0"/>
        <w:contextualSpacing/>
      </w:pPr>
      <w:r>
        <w:t>Hint: See Exhibit 7.4 in Note Set 7.</w:t>
      </w:r>
    </w:p>
    <w:p w14:paraId="120D6737" w14:textId="77777777" w:rsidR="00D763A1" w:rsidRDefault="00D763A1" w:rsidP="000653BB">
      <w:pPr>
        <w:spacing w:after="200" w:line="276" w:lineRule="auto"/>
        <w:ind w:left="0" w:firstLine="0"/>
        <w:contextualSpacing/>
      </w:pPr>
    </w:p>
    <w:p w14:paraId="273D575D" w14:textId="77777777" w:rsidR="000653BB" w:rsidRDefault="00450D2A" w:rsidP="000653BB">
      <w:pPr>
        <w:spacing w:after="200" w:line="276" w:lineRule="auto"/>
        <w:ind w:left="0" w:firstLine="0"/>
        <w:contextualSpacing/>
      </w:pPr>
      <w:r>
        <w:t>5</w:t>
      </w:r>
      <w:r w:rsidR="005C5293">
        <w:t xml:space="preserve">. In developing a forecast </w:t>
      </w:r>
      <w:r w:rsidR="000653BB">
        <w:t xml:space="preserve">for </w:t>
      </w:r>
      <w:r w:rsidR="005C5293">
        <w:t>a fixed exchange rate</w:t>
      </w:r>
      <w:r w:rsidR="000653BB">
        <w:t>, what two factors are critical in a government’s decision to maintain its promise of a fixed exchange rate?</w:t>
      </w:r>
    </w:p>
    <w:p w14:paraId="774D4EF8" w14:textId="77777777" w:rsidR="000653BB" w:rsidRDefault="000653BB" w:rsidP="000653BB">
      <w:pPr>
        <w:spacing w:after="200" w:line="276" w:lineRule="auto"/>
        <w:ind w:left="0" w:firstLine="0"/>
        <w:contextualSpacing/>
      </w:pPr>
      <w:r>
        <w:t>Hint: See Note Set 9</w:t>
      </w:r>
      <w:r w:rsidR="008D16C4">
        <w:t>.</w:t>
      </w:r>
    </w:p>
    <w:p w14:paraId="6BDB652B" w14:textId="77777777" w:rsidR="000653BB" w:rsidRDefault="000653BB" w:rsidP="000653BB">
      <w:pPr>
        <w:spacing w:after="200" w:line="276" w:lineRule="auto"/>
        <w:ind w:left="0" w:firstLine="0"/>
      </w:pPr>
    </w:p>
    <w:p w14:paraId="5AC5242C" w14:textId="77777777" w:rsidR="000653BB" w:rsidRDefault="00450D2A" w:rsidP="000653BB">
      <w:pPr>
        <w:spacing w:after="200" w:line="276" w:lineRule="auto"/>
        <w:ind w:left="0" w:firstLine="0"/>
        <w:contextualSpacing/>
      </w:pPr>
      <w:r>
        <w:t>6</w:t>
      </w:r>
      <w:r w:rsidR="000653BB">
        <w:t>.</w:t>
      </w:r>
      <w:r w:rsidR="005C5293">
        <w:t xml:space="preserve"> </w:t>
      </w:r>
      <w:r w:rsidR="000653BB">
        <w:t>Why does the Efficient Markets Hypothesis, as applied to the FX markets, imply that movements in exchanges rates are inherently very hard to predict accurately?</w:t>
      </w:r>
    </w:p>
    <w:p w14:paraId="58098812" w14:textId="77777777" w:rsidR="000653BB" w:rsidRDefault="00D763A1" w:rsidP="000653BB">
      <w:pPr>
        <w:spacing w:after="200" w:line="276" w:lineRule="auto"/>
        <w:ind w:left="0" w:firstLine="0"/>
        <w:contextualSpacing/>
      </w:pPr>
      <w:r>
        <w:t xml:space="preserve">Hint: </w:t>
      </w:r>
      <w:r w:rsidR="000653BB">
        <w:t>See Note Set 9 on the Random Walk model.</w:t>
      </w:r>
    </w:p>
    <w:p w14:paraId="00B5FD73" w14:textId="77777777" w:rsidR="000653BB" w:rsidRDefault="000653BB" w:rsidP="000653BB">
      <w:pPr>
        <w:spacing w:after="200" w:line="276" w:lineRule="auto"/>
        <w:ind w:left="0" w:firstLine="0"/>
      </w:pPr>
    </w:p>
    <w:p w14:paraId="60C8CF43" w14:textId="77777777" w:rsidR="00534F3B" w:rsidRPr="00534F3B" w:rsidRDefault="00450D2A" w:rsidP="00534F3B">
      <w:pPr>
        <w:spacing w:after="200"/>
        <w:ind w:left="0" w:firstLine="0"/>
        <w:rPr>
          <w:rFonts w:eastAsia="Calibri" w:cs="Times New Roman"/>
          <w:szCs w:val="24"/>
        </w:rPr>
      </w:pPr>
      <w:r>
        <w:rPr>
          <w:rFonts w:eastAsia="Calibri" w:cs="Times New Roman"/>
          <w:szCs w:val="24"/>
        </w:rPr>
        <w:t>7</w:t>
      </w:r>
      <w:r w:rsidR="00534F3B">
        <w:rPr>
          <w:rFonts w:eastAsia="Calibri" w:cs="Times New Roman"/>
          <w:szCs w:val="24"/>
        </w:rPr>
        <w:t xml:space="preserve">. A US company </w:t>
      </w:r>
      <w:r w:rsidR="005C5293">
        <w:rPr>
          <w:rFonts w:eastAsia="Calibri" w:cs="Times New Roman"/>
          <w:szCs w:val="24"/>
        </w:rPr>
        <w:t>must</w:t>
      </w:r>
      <w:r w:rsidR="00534F3B">
        <w:rPr>
          <w:rFonts w:eastAsia="Calibri" w:cs="Times New Roman"/>
          <w:szCs w:val="24"/>
        </w:rPr>
        <w:t xml:space="preserve"> make a </w:t>
      </w:r>
      <w:r w:rsidR="00534F3B" w:rsidRPr="00534F3B">
        <w:rPr>
          <w:rFonts w:eastAsia="Calibri" w:cs="Times New Roman"/>
          <w:szCs w:val="24"/>
        </w:rPr>
        <w:t>payment of 100</w:t>
      </w:r>
      <w:r w:rsidR="005C5293">
        <w:rPr>
          <w:rFonts w:eastAsia="Calibri" w:cs="Times New Roman"/>
          <w:szCs w:val="24"/>
        </w:rPr>
        <w:t>M</w:t>
      </w:r>
      <w:r w:rsidR="00534F3B" w:rsidRPr="00534F3B">
        <w:rPr>
          <w:rFonts w:eastAsia="Calibri" w:cs="Times New Roman"/>
          <w:szCs w:val="24"/>
        </w:rPr>
        <w:t xml:space="preserve"> AUDs in 90 days</w:t>
      </w:r>
      <w:r w:rsidR="005C5293">
        <w:rPr>
          <w:rFonts w:eastAsia="Calibri" w:cs="Times New Roman"/>
          <w:szCs w:val="24"/>
        </w:rPr>
        <w:t xml:space="preserve"> for goods bought</w:t>
      </w:r>
      <w:r w:rsidR="00534F3B" w:rsidRPr="00534F3B">
        <w:rPr>
          <w:rFonts w:eastAsia="Calibri" w:cs="Times New Roman"/>
          <w:szCs w:val="24"/>
        </w:rPr>
        <w:t xml:space="preserve">.  It is concerned that the AUD will </w:t>
      </w:r>
      <w:r w:rsidR="00534F3B">
        <w:rPr>
          <w:rFonts w:eastAsia="Calibri" w:cs="Times New Roman"/>
          <w:szCs w:val="24"/>
        </w:rPr>
        <w:t>app</w:t>
      </w:r>
      <w:r w:rsidR="00534F3B" w:rsidRPr="00534F3B">
        <w:rPr>
          <w:rFonts w:eastAsia="Calibri" w:cs="Times New Roman"/>
          <w:szCs w:val="24"/>
        </w:rPr>
        <w:t xml:space="preserve">reciate relative to the USD and is looking for possible protection against this outcome.  </w:t>
      </w:r>
      <w:r w:rsidR="00534F3B">
        <w:rPr>
          <w:rFonts w:eastAsia="Calibri" w:cs="Times New Roman"/>
          <w:szCs w:val="24"/>
        </w:rPr>
        <w:t xml:space="preserve">Using the information in Exhibit 1 set up a MMH that will protect the company from loss due to an unexpected appreciation in the AUD.  </w:t>
      </w:r>
    </w:p>
    <w:p w14:paraId="12C416CF" w14:textId="77777777" w:rsidR="00534F3B" w:rsidRPr="00534F3B" w:rsidRDefault="00534F3B" w:rsidP="00534F3B">
      <w:pPr>
        <w:spacing w:after="200"/>
        <w:ind w:left="0" w:firstLine="0"/>
        <w:jc w:val="center"/>
        <w:rPr>
          <w:rFonts w:eastAsia="Calibri" w:cs="Times New Roman"/>
          <w:b/>
          <w:szCs w:val="24"/>
        </w:rPr>
      </w:pPr>
      <w:r w:rsidRPr="00534F3B">
        <w:rPr>
          <w:rFonts w:eastAsia="Calibri" w:cs="Times New Roman"/>
          <w:b/>
          <w:szCs w:val="24"/>
        </w:rPr>
        <w:t xml:space="preserve">Exhibit </w:t>
      </w:r>
      <w:r>
        <w:rPr>
          <w:rFonts w:eastAsia="Calibri" w:cs="Times New Roman"/>
          <w:b/>
          <w:szCs w:val="24"/>
        </w:rPr>
        <w:t>1</w:t>
      </w:r>
    </w:p>
    <w:p w14:paraId="07ABBD7F" w14:textId="77777777" w:rsidR="00534F3B" w:rsidRDefault="00534F3B" w:rsidP="00534F3B">
      <w:pPr>
        <w:pBdr>
          <w:top w:val="single" w:sz="4" w:space="1" w:color="auto"/>
          <w:left w:val="single" w:sz="4" w:space="4" w:color="auto"/>
          <w:bottom w:val="single" w:sz="4" w:space="1" w:color="auto"/>
          <w:right w:val="single" w:sz="4" w:space="4" w:color="auto"/>
        </w:pBdr>
        <w:spacing w:after="200"/>
        <w:ind w:left="0" w:firstLine="0"/>
        <w:rPr>
          <w:rFonts w:eastAsia="Calibri" w:cs="Times New Roman"/>
          <w:szCs w:val="24"/>
        </w:rPr>
      </w:pPr>
      <w:r w:rsidRPr="00534F3B">
        <w:rPr>
          <w:rFonts w:eastAsia="Calibri" w:cs="Times New Roman"/>
          <w:szCs w:val="24"/>
        </w:rPr>
        <w:t>The current spot rate is1</w:t>
      </w:r>
      <w:r>
        <w:rPr>
          <w:rFonts w:eastAsia="Calibri" w:cs="Times New Roman"/>
          <w:szCs w:val="24"/>
        </w:rPr>
        <w:t>.000</w:t>
      </w:r>
      <w:r w:rsidRPr="00534F3B">
        <w:rPr>
          <w:rFonts w:eastAsia="Calibri" w:cs="Times New Roman"/>
          <w:szCs w:val="24"/>
        </w:rPr>
        <w:t xml:space="preserve"> USD per AUD.  </w:t>
      </w:r>
    </w:p>
    <w:p w14:paraId="629170C0" w14:textId="77777777" w:rsidR="00534F3B" w:rsidRPr="00534F3B" w:rsidRDefault="00534F3B" w:rsidP="00534F3B">
      <w:pPr>
        <w:pBdr>
          <w:top w:val="single" w:sz="4" w:space="1" w:color="auto"/>
          <w:left w:val="single" w:sz="4" w:space="4" w:color="auto"/>
          <w:bottom w:val="single" w:sz="4" w:space="1" w:color="auto"/>
          <w:right w:val="single" w:sz="4" w:space="4" w:color="auto"/>
        </w:pBdr>
        <w:spacing w:after="200"/>
        <w:ind w:left="0" w:firstLine="0"/>
        <w:rPr>
          <w:rFonts w:eastAsia="Calibri" w:cs="Times New Roman"/>
          <w:szCs w:val="24"/>
        </w:rPr>
      </w:pPr>
      <w:r w:rsidRPr="00534F3B">
        <w:rPr>
          <w:rFonts w:eastAsia="Calibri" w:cs="Times New Roman"/>
          <w:szCs w:val="24"/>
        </w:rPr>
        <w:t>The current 90-day loan rate for AUDs is</w:t>
      </w:r>
      <w:r w:rsidR="005C5293">
        <w:rPr>
          <w:rFonts w:eastAsia="Calibri" w:cs="Times New Roman"/>
          <w:szCs w:val="24"/>
        </w:rPr>
        <w:t xml:space="preserve"> 5% and for USDs is 1%.   I</w:t>
      </w:r>
      <w:r w:rsidRPr="00534F3B">
        <w:rPr>
          <w:rFonts w:eastAsia="Calibri" w:cs="Times New Roman"/>
          <w:szCs w:val="24"/>
        </w:rPr>
        <w:t xml:space="preserve">nterest rates are quoted on an annualized basis.  </w:t>
      </w:r>
    </w:p>
    <w:p w14:paraId="009F57C3" w14:textId="77777777" w:rsidR="00534F3B" w:rsidRDefault="00D906A9" w:rsidP="00CA2039">
      <w:pPr>
        <w:spacing w:after="200"/>
        <w:ind w:left="0" w:firstLine="0"/>
        <w:rPr>
          <w:rFonts w:eastAsia="Calibri" w:cs="Times New Roman"/>
          <w:szCs w:val="24"/>
        </w:rPr>
      </w:pPr>
      <w:r>
        <w:rPr>
          <w:rFonts w:eastAsia="Calibri" w:cs="Times New Roman"/>
          <w:szCs w:val="24"/>
        </w:rPr>
        <w:t>Hint: See Note Set 7 on the Money Market Hedge.</w:t>
      </w:r>
    </w:p>
    <w:p w14:paraId="7BF6776D" w14:textId="77777777" w:rsidR="00534F3B" w:rsidRDefault="00534F3B" w:rsidP="00CA2039">
      <w:pPr>
        <w:spacing w:after="200"/>
        <w:ind w:left="0" w:firstLine="0"/>
        <w:rPr>
          <w:rFonts w:eastAsia="Calibri" w:cs="Times New Roman"/>
          <w:szCs w:val="24"/>
        </w:rPr>
      </w:pPr>
    </w:p>
    <w:p w14:paraId="39509B84" w14:textId="77777777" w:rsidR="00534F3B" w:rsidRDefault="00534F3B" w:rsidP="00CA2039">
      <w:pPr>
        <w:spacing w:after="200"/>
        <w:ind w:left="0" w:firstLine="0"/>
        <w:rPr>
          <w:rFonts w:eastAsia="Calibri" w:cs="Times New Roman"/>
          <w:szCs w:val="24"/>
        </w:rPr>
      </w:pPr>
    </w:p>
    <w:p w14:paraId="646AF330" w14:textId="77777777" w:rsidR="00534F3B" w:rsidRDefault="00534F3B" w:rsidP="00CA2039">
      <w:pPr>
        <w:spacing w:after="200"/>
        <w:ind w:left="0" w:firstLine="0"/>
        <w:rPr>
          <w:rFonts w:eastAsia="Calibri" w:cs="Times New Roman"/>
          <w:szCs w:val="24"/>
        </w:rPr>
      </w:pPr>
    </w:p>
    <w:p w14:paraId="76006947" w14:textId="77777777" w:rsidR="00534F3B" w:rsidRDefault="00534F3B" w:rsidP="00CA2039">
      <w:pPr>
        <w:spacing w:after="200"/>
        <w:ind w:left="0" w:firstLine="0"/>
        <w:rPr>
          <w:rFonts w:eastAsia="Calibri" w:cs="Times New Roman"/>
          <w:szCs w:val="24"/>
        </w:rPr>
      </w:pPr>
    </w:p>
    <w:p w14:paraId="08D3B7C4" w14:textId="77777777" w:rsidR="00534F3B" w:rsidRDefault="00534F3B" w:rsidP="00CA2039">
      <w:pPr>
        <w:spacing w:after="200"/>
        <w:ind w:left="0" w:firstLine="0"/>
        <w:rPr>
          <w:rFonts w:eastAsia="Calibri" w:cs="Times New Roman"/>
          <w:szCs w:val="24"/>
        </w:rPr>
      </w:pPr>
    </w:p>
    <w:p w14:paraId="3D3D8E21" w14:textId="77777777" w:rsidR="00534F3B" w:rsidRDefault="00534F3B" w:rsidP="00CA2039">
      <w:pPr>
        <w:spacing w:after="200"/>
        <w:ind w:left="0" w:firstLine="0"/>
        <w:rPr>
          <w:rFonts w:eastAsia="Calibri" w:cs="Times New Roman"/>
          <w:szCs w:val="24"/>
        </w:rPr>
      </w:pPr>
    </w:p>
    <w:p w14:paraId="7D825D1A" w14:textId="77777777" w:rsidR="00534F3B" w:rsidRDefault="00534F3B" w:rsidP="00CA2039">
      <w:pPr>
        <w:spacing w:after="200"/>
        <w:ind w:left="0" w:firstLine="0"/>
        <w:rPr>
          <w:rFonts w:eastAsia="Calibri" w:cs="Times New Roman"/>
          <w:szCs w:val="24"/>
        </w:rPr>
      </w:pPr>
    </w:p>
    <w:p w14:paraId="0D3ABBD7" w14:textId="77777777" w:rsidR="00534F3B" w:rsidRDefault="00534F3B" w:rsidP="00CA2039">
      <w:pPr>
        <w:spacing w:after="200"/>
        <w:ind w:left="0" w:firstLine="0"/>
        <w:rPr>
          <w:rFonts w:eastAsia="Calibri" w:cs="Times New Roman"/>
          <w:szCs w:val="24"/>
        </w:rPr>
      </w:pPr>
    </w:p>
    <w:p w14:paraId="2144D14B" w14:textId="77777777" w:rsidR="00534F3B" w:rsidRDefault="00534F3B" w:rsidP="00CA2039">
      <w:pPr>
        <w:spacing w:after="200"/>
        <w:ind w:left="0" w:firstLine="0"/>
        <w:rPr>
          <w:rFonts w:eastAsia="Calibri" w:cs="Times New Roman"/>
          <w:szCs w:val="24"/>
        </w:rPr>
      </w:pPr>
    </w:p>
    <w:p w14:paraId="681DE7D6" w14:textId="77777777" w:rsidR="00534F3B" w:rsidRDefault="00534F3B" w:rsidP="00CA2039">
      <w:pPr>
        <w:spacing w:after="200"/>
        <w:ind w:left="0" w:firstLine="0"/>
        <w:rPr>
          <w:rFonts w:eastAsia="Calibri" w:cs="Times New Roman"/>
          <w:szCs w:val="24"/>
        </w:rPr>
      </w:pPr>
    </w:p>
    <w:p w14:paraId="5E53E26B" w14:textId="77777777" w:rsidR="00534F3B" w:rsidRDefault="00534F3B" w:rsidP="00CA2039">
      <w:pPr>
        <w:spacing w:after="200"/>
        <w:ind w:left="0" w:firstLine="0"/>
        <w:rPr>
          <w:rFonts w:eastAsia="Calibri" w:cs="Times New Roman"/>
          <w:szCs w:val="24"/>
        </w:rPr>
      </w:pPr>
    </w:p>
    <w:p w14:paraId="53220F5E" w14:textId="77777777" w:rsidR="00CA2039" w:rsidRPr="00CA2039" w:rsidRDefault="00450D2A" w:rsidP="00CA2039">
      <w:pPr>
        <w:spacing w:after="200"/>
        <w:ind w:left="0" w:firstLine="0"/>
        <w:rPr>
          <w:rFonts w:eastAsia="Calibri" w:cs="Times New Roman"/>
          <w:szCs w:val="24"/>
        </w:rPr>
      </w:pPr>
      <w:r>
        <w:rPr>
          <w:rFonts w:eastAsia="Calibri" w:cs="Times New Roman"/>
          <w:szCs w:val="24"/>
        </w:rPr>
        <w:t>8</w:t>
      </w:r>
      <w:r w:rsidR="00CA2039" w:rsidRPr="00CA2039">
        <w:rPr>
          <w:rFonts w:eastAsia="Calibri" w:cs="Times New Roman"/>
          <w:szCs w:val="24"/>
        </w:rPr>
        <w:t>.</w:t>
      </w:r>
      <w:r w:rsidR="00D954C0">
        <w:rPr>
          <w:rFonts w:eastAsia="Calibri" w:cs="Times New Roman"/>
          <w:szCs w:val="24"/>
        </w:rPr>
        <w:t xml:space="preserve">  </w:t>
      </w:r>
      <w:r w:rsidR="00CA2039" w:rsidRPr="00CA2039">
        <w:rPr>
          <w:rFonts w:eastAsia="Calibri" w:cs="Times New Roman"/>
          <w:szCs w:val="24"/>
        </w:rPr>
        <w:t>Using the LIBOR data in Exhibit 1 calculate the forward exchange rates for the Brazilian Real (BRL) and the South African Rand (ZAR) relative to the USD</w:t>
      </w:r>
      <w:r w:rsidR="005C5293">
        <w:rPr>
          <w:rFonts w:eastAsia="Calibri" w:cs="Times New Roman"/>
          <w:szCs w:val="24"/>
        </w:rPr>
        <w:t xml:space="preserve"> in units of foreign currency per USD</w:t>
      </w:r>
      <w:r w:rsidR="00CA2039" w:rsidRPr="00CA2039">
        <w:rPr>
          <w:rFonts w:eastAsia="Calibri" w:cs="Times New Roman"/>
          <w:szCs w:val="24"/>
        </w:rPr>
        <w:t xml:space="preserve">.  Insert these numbers in the appropriate boxes in Exhibit 2 below. </w:t>
      </w:r>
    </w:p>
    <w:p w14:paraId="5CB46396" w14:textId="77777777" w:rsidR="00D906A9" w:rsidRDefault="00CA2039" w:rsidP="00534F3B">
      <w:pPr>
        <w:spacing w:after="200"/>
        <w:ind w:left="0" w:firstLine="0"/>
        <w:rPr>
          <w:rFonts w:eastAsia="Calibri" w:cs="Times New Roman"/>
          <w:szCs w:val="24"/>
        </w:rPr>
      </w:pPr>
      <w:r w:rsidRPr="00CA2039">
        <w:rPr>
          <w:rFonts w:eastAsia="Calibri" w:cs="Times New Roman"/>
          <w:szCs w:val="24"/>
        </w:rPr>
        <w:t>A couple of entries are given.</w:t>
      </w:r>
    </w:p>
    <w:p w14:paraId="0F5D548D" w14:textId="77777777" w:rsidR="00FC5F54" w:rsidRDefault="00FC5F54" w:rsidP="00534F3B">
      <w:pPr>
        <w:spacing w:after="200"/>
        <w:ind w:left="0" w:firstLine="0"/>
        <w:rPr>
          <w:rFonts w:eastAsia="Calibri" w:cs="Times New Roman"/>
          <w:szCs w:val="24"/>
        </w:rPr>
      </w:pPr>
    </w:p>
    <w:p w14:paraId="0A815DA6" w14:textId="77777777" w:rsidR="00FC5F54" w:rsidRDefault="00FC5F54" w:rsidP="00534F3B">
      <w:pPr>
        <w:spacing w:after="200"/>
        <w:ind w:left="0" w:firstLine="0"/>
        <w:rPr>
          <w:rFonts w:eastAsia="Calibri" w:cs="Times New Roman"/>
          <w:szCs w:val="24"/>
        </w:rPr>
      </w:pPr>
      <w:r w:rsidRPr="00CA2039">
        <w:rPr>
          <w:noProof/>
        </w:rPr>
        <w:drawing>
          <wp:inline distT="0" distB="0" distL="0" distR="0" wp14:anchorId="4F70A8F8" wp14:editId="300F0424">
            <wp:extent cx="5943600" cy="536130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5361305"/>
                    </a:xfrm>
                    <a:prstGeom prst="rect">
                      <a:avLst/>
                    </a:prstGeom>
                    <a:noFill/>
                    <a:ln>
                      <a:noFill/>
                    </a:ln>
                  </pic:spPr>
                </pic:pic>
              </a:graphicData>
            </a:graphic>
          </wp:inline>
        </w:drawing>
      </w:r>
    </w:p>
    <w:p w14:paraId="1FF2542A" w14:textId="77777777" w:rsidR="00CA2039" w:rsidRDefault="00D906A9" w:rsidP="00534F3B">
      <w:pPr>
        <w:spacing w:after="200"/>
        <w:ind w:left="0" w:firstLine="0"/>
      </w:pPr>
      <w:r>
        <w:rPr>
          <w:rFonts w:eastAsia="Calibri" w:cs="Times New Roman"/>
          <w:szCs w:val="24"/>
        </w:rPr>
        <w:t>Hint: See Note Set 6 for implied forward rates.</w:t>
      </w:r>
      <w:r w:rsidRPr="00CA2039">
        <w:t xml:space="preserve"> </w:t>
      </w:r>
    </w:p>
    <w:p w14:paraId="2E93A534" w14:textId="77777777" w:rsidR="00FC5F54" w:rsidRDefault="00FC5F54" w:rsidP="00534F3B">
      <w:pPr>
        <w:spacing w:after="200"/>
        <w:ind w:left="0" w:firstLine="0"/>
      </w:pPr>
    </w:p>
    <w:p w14:paraId="71357C7A" w14:textId="77777777" w:rsidR="00450D2A" w:rsidRDefault="00450D2A" w:rsidP="00534F3B">
      <w:pPr>
        <w:spacing w:after="200"/>
        <w:ind w:left="0" w:firstLine="0"/>
      </w:pPr>
    </w:p>
    <w:p w14:paraId="2BF54431" w14:textId="77777777" w:rsidR="00450D2A" w:rsidRDefault="00450D2A" w:rsidP="00534F3B">
      <w:pPr>
        <w:spacing w:after="200"/>
        <w:ind w:left="0" w:firstLine="0"/>
      </w:pPr>
    </w:p>
    <w:p w14:paraId="7B45C69E" w14:textId="77777777" w:rsidR="00FC5F54" w:rsidRDefault="00450D2A" w:rsidP="00534F3B">
      <w:pPr>
        <w:spacing w:after="200"/>
        <w:ind w:left="0" w:firstLine="0"/>
      </w:pPr>
      <w:r>
        <w:lastRenderedPageBreak/>
        <w:t>9</w:t>
      </w:r>
      <w:r w:rsidR="00FC5F54">
        <w:t>.   Explain why both international capital flows and</w:t>
      </w:r>
      <w:r w:rsidR="005C5293">
        <w:t xml:space="preserve"> international trade flows </w:t>
      </w:r>
      <w:r w:rsidR="00FC5F54">
        <w:t>sum to zero at the planetary level.</w:t>
      </w:r>
    </w:p>
    <w:p w14:paraId="3EE18BCB" w14:textId="77777777" w:rsidR="00FC5F54" w:rsidRDefault="00450D2A" w:rsidP="00534F3B">
      <w:pPr>
        <w:spacing w:after="200"/>
        <w:ind w:left="0" w:firstLine="0"/>
      </w:pPr>
      <w:r>
        <w:t xml:space="preserve">Hint:  </w:t>
      </w:r>
      <w:r w:rsidR="00FC5F54">
        <w:t>See Note Set 8 on capital and trade flows between developed and undeveloped economies.</w:t>
      </w:r>
    </w:p>
    <w:p w14:paraId="6DBCAFE7" w14:textId="77777777" w:rsidR="00FC5F54" w:rsidRDefault="00FC5F54" w:rsidP="00534F3B">
      <w:pPr>
        <w:spacing w:after="200"/>
        <w:ind w:left="0" w:firstLine="0"/>
      </w:pPr>
    </w:p>
    <w:p w14:paraId="7AB523DB" w14:textId="77777777" w:rsidR="00FC5F54" w:rsidRDefault="00FC5F54" w:rsidP="00534F3B">
      <w:pPr>
        <w:spacing w:after="200"/>
        <w:ind w:left="0" w:firstLine="0"/>
      </w:pPr>
      <w:r>
        <w:t>1</w:t>
      </w:r>
      <w:r w:rsidR="00450D2A">
        <w:t>0</w:t>
      </w:r>
      <w:r>
        <w:t xml:space="preserve">.  </w:t>
      </w:r>
      <w:r w:rsidR="00450D2A">
        <w:t>Show and explain why e</w:t>
      </w:r>
      <w:r>
        <w:t xml:space="preserve">very country’s BOP </w:t>
      </w:r>
      <w:r w:rsidR="005C5293">
        <w:t>equals</w:t>
      </w:r>
      <w:r>
        <w:t xml:space="preserve"> </w:t>
      </w:r>
      <w:r w:rsidR="00450D2A">
        <w:t>zero (ignoring errors and omissions in the data).</w:t>
      </w:r>
    </w:p>
    <w:p w14:paraId="122D7AFA" w14:textId="77777777" w:rsidR="00450D2A" w:rsidRDefault="00450D2A" w:rsidP="00534F3B">
      <w:pPr>
        <w:spacing w:after="200"/>
        <w:ind w:left="0" w:firstLine="0"/>
      </w:pPr>
      <w:r>
        <w:t>Hint: See Balance of Payments, Note Set 8.</w:t>
      </w:r>
    </w:p>
    <w:p w14:paraId="75D38A61" w14:textId="77777777" w:rsidR="00FC5F54" w:rsidRDefault="00FC5F54" w:rsidP="00534F3B">
      <w:pPr>
        <w:spacing w:after="200"/>
        <w:ind w:left="0" w:firstLine="0"/>
      </w:pPr>
    </w:p>
    <w:sectPr w:rsidR="00FC5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F1066"/>
    <w:multiLevelType w:val="hybridMultilevel"/>
    <w:tmpl w:val="22DA7568"/>
    <w:lvl w:ilvl="0" w:tplc="82B6FEFE">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B09F5"/>
    <w:multiLevelType w:val="hybridMultilevel"/>
    <w:tmpl w:val="78864C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8B0A48"/>
    <w:multiLevelType w:val="hybridMultilevel"/>
    <w:tmpl w:val="8326D510"/>
    <w:lvl w:ilvl="0" w:tplc="5B74D7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691"/>
    <w:rsid w:val="000653BB"/>
    <w:rsid w:val="00321160"/>
    <w:rsid w:val="00450D2A"/>
    <w:rsid w:val="00534F3B"/>
    <w:rsid w:val="005C5293"/>
    <w:rsid w:val="00612A4E"/>
    <w:rsid w:val="00634953"/>
    <w:rsid w:val="00677691"/>
    <w:rsid w:val="00871135"/>
    <w:rsid w:val="008D16C4"/>
    <w:rsid w:val="00930641"/>
    <w:rsid w:val="00954DDA"/>
    <w:rsid w:val="00C579B8"/>
    <w:rsid w:val="00C95A27"/>
    <w:rsid w:val="00CA2039"/>
    <w:rsid w:val="00D218B4"/>
    <w:rsid w:val="00D763A1"/>
    <w:rsid w:val="00D906A9"/>
    <w:rsid w:val="00D954C0"/>
    <w:rsid w:val="00ED40B7"/>
    <w:rsid w:val="00F7641A"/>
    <w:rsid w:val="00FC5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2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ind w:left="360" w:firstLine="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691"/>
    <w:pPr>
      <w:ind w:left="720"/>
      <w:contextualSpacing/>
    </w:pPr>
  </w:style>
  <w:style w:type="table" w:styleId="TableGrid">
    <w:name w:val="Table Grid"/>
    <w:basedOn w:val="TableNormal"/>
    <w:uiPriority w:val="59"/>
    <w:rsid w:val="006349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1160"/>
    <w:rPr>
      <w:rFonts w:ascii="Lucida Grande" w:hAnsi="Lucida Grande"/>
      <w:sz w:val="18"/>
      <w:szCs w:val="18"/>
    </w:rPr>
  </w:style>
  <w:style w:type="character" w:customStyle="1" w:styleId="BalloonTextChar">
    <w:name w:val="Balloon Text Char"/>
    <w:basedOn w:val="DefaultParagraphFont"/>
    <w:link w:val="BalloonText"/>
    <w:uiPriority w:val="99"/>
    <w:semiHidden/>
    <w:rsid w:val="0032116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ind w:left="360" w:firstLine="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691"/>
    <w:pPr>
      <w:ind w:left="720"/>
      <w:contextualSpacing/>
    </w:pPr>
  </w:style>
  <w:style w:type="table" w:styleId="TableGrid">
    <w:name w:val="Table Grid"/>
    <w:basedOn w:val="TableNormal"/>
    <w:uiPriority w:val="59"/>
    <w:rsid w:val="006349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1160"/>
    <w:rPr>
      <w:rFonts w:ascii="Lucida Grande" w:hAnsi="Lucida Grande"/>
      <w:sz w:val="18"/>
      <w:szCs w:val="18"/>
    </w:rPr>
  </w:style>
  <w:style w:type="character" w:customStyle="1" w:styleId="BalloonTextChar">
    <w:name w:val="Balloon Text Char"/>
    <w:basedOn w:val="DefaultParagraphFont"/>
    <w:link w:val="BalloonText"/>
    <w:uiPriority w:val="99"/>
    <w:semiHidden/>
    <w:rsid w:val="0032116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3755</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Mason School of Business</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Boschen, John</dc:creator>
  <cp:lastModifiedBy>Rime Jabbara</cp:lastModifiedBy>
  <cp:revision>2</cp:revision>
  <dcterms:created xsi:type="dcterms:W3CDTF">2017-03-15T01:53:00Z</dcterms:created>
  <dcterms:modified xsi:type="dcterms:W3CDTF">2017-03-15T01:53:00Z</dcterms:modified>
</cp:coreProperties>
</file>